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560" w:lineRule="exact"/>
        <w:jc w:val="both"/>
        <w:rPr>
          <w:rFonts w:hint="eastAsia" w:ascii="宋体" w:hAnsi="宋体" w:cstheme="minorBidi"/>
          <w:b/>
          <w:sz w:val="24"/>
        </w:rPr>
      </w:pPr>
      <w:r>
        <w:rPr>
          <w:rFonts w:hint="eastAsia" w:ascii="宋体" w:hAnsi="宋体" w:cstheme="minorBidi"/>
          <w:b/>
          <w:sz w:val="24"/>
        </w:rPr>
        <w:t>附件</w:t>
      </w:r>
      <w:r>
        <w:rPr>
          <w:rFonts w:hint="eastAsia" w:ascii="宋体" w:hAnsi="宋体" w:cstheme="minorBidi"/>
          <w:b/>
          <w:sz w:val="24"/>
          <w:lang w:val="en-US" w:eastAsia="zh-CN"/>
        </w:rPr>
        <w:t>1-</w:t>
      </w:r>
      <w:r>
        <w:rPr>
          <w:rFonts w:hint="eastAsia" w:ascii="宋体" w:hAnsi="宋体" w:cstheme="minorBidi"/>
          <w:b/>
          <w:sz w:val="24"/>
        </w:rPr>
        <w:t>2</w:t>
      </w:r>
    </w:p>
    <w:p>
      <w:pPr>
        <w:adjustRightInd w:val="0"/>
        <w:snapToGrid w:val="0"/>
        <w:spacing w:line="560" w:lineRule="exact"/>
        <w:jc w:val="center"/>
        <w:rPr>
          <w:rFonts w:hint="eastAsia" w:ascii="宋体" w:hAnsi="宋体" w:cstheme="minorBidi"/>
          <w:b/>
          <w:sz w:val="32"/>
          <w:szCs w:val="32"/>
        </w:rPr>
      </w:pPr>
      <w:r>
        <w:rPr>
          <w:rFonts w:hint="eastAsia" w:ascii="宋体" w:hAnsi="宋体" w:cstheme="minorBidi"/>
          <w:b/>
          <w:sz w:val="32"/>
          <w:szCs w:val="32"/>
        </w:rPr>
        <w:t>新疆师范大学</w:t>
      </w:r>
      <w:r>
        <w:rPr>
          <w:rFonts w:ascii="宋体" w:hAnsi="宋体" w:cstheme="minorBidi"/>
          <w:b/>
          <w:sz w:val="32"/>
          <w:szCs w:val="32"/>
        </w:rPr>
        <w:t>一流本科专业</w:t>
      </w:r>
      <w:r>
        <w:rPr>
          <w:rFonts w:hint="eastAsia" w:ascii="宋体" w:hAnsi="宋体" w:cstheme="minorBidi"/>
          <w:b/>
          <w:sz w:val="32"/>
          <w:szCs w:val="32"/>
        </w:rPr>
        <w:t>建设考核标准</w:t>
      </w:r>
    </w:p>
    <w:tbl>
      <w:tblPr>
        <w:tblStyle w:val="2"/>
        <w:tblW w:w="8916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6"/>
        <w:gridCol w:w="1116"/>
        <w:gridCol w:w="2968"/>
        <w:gridCol w:w="3706"/>
      </w:tblGrid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0" w:hRule="atLeast"/>
          <w:jc w:val="center"/>
        </w:trPr>
        <w:tc>
          <w:tcPr>
            <w:tcW w:w="112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Cs w:val="21"/>
              </w:rPr>
              <w:t>一级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Cs w:val="21"/>
              </w:rPr>
              <w:t>指标</w:t>
            </w:r>
          </w:p>
        </w:tc>
        <w:tc>
          <w:tcPr>
            <w:tcW w:w="111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仿宋" w:hAnsi="仿宋" w:eastAsia="仿宋" w:cs="仿宋"/>
                <w:b/>
                <w:bCs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Cs w:val="21"/>
              </w:rPr>
              <w:t>二级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Cs w:val="21"/>
              </w:rPr>
              <w:t>指标</w:t>
            </w:r>
          </w:p>
        </w:tc>
        <w:tc>
          <w:tcPr>
            <w:tcW w:w="296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Cs w:val="21"/>
              </w:rPr>
              <w:t>国家级建设标准</w:t>
            </w:r>
          </w:p>
        </w:tc>
        <w:tc>
          <w:tcPr>
            <w:tcW w:w="370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仿宋" w:hAnsi="仿宋" w:eastAsia="仿宋" w:cs="仿宋"/>
                <w:b/>
                <w:bCs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Cs w:val="21"/>
              </w:rPr>
              <w:t>自治区级建设标准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5" w:hRule="atLeast"/>
          <w:jc w:val="center"/>
        </w:trPr>
        <w:tc>
          <w:tcPr>
            <w:tcW w:w="1126" w:type="dxa"/>
            <w:vMerge w:val="restart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" w:hAnsi="仿宋" w:eastAsia="仿宋" w:cs="仿宋"/>
                <w:b/>
                <w:bCs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Cs w:val="21"/>
              </w:rPr>
              <w:t>专业类教学质量国家标准达标情况</w:t>
            </w:r>
          </w:p>
          <w:p>
            <w:pPr>
              <w:widowControl/>
              <w:spacing w:line="320" w:lineRule="exact"/>
              <w:jc w:val="center"/>
              <w:rPr>
                <w:rFonts w:ascii="仿宋" w:hAnsi="仿宋" w:eastAsia="仿宋" w:cs="仿宋"/>
                <w:b/>
                <w:bCs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Cs w:val="21"/>
              </w:rPr>
              <w:t>（100分）</w:t>
            </w:r>
          </w:p>
        </w:tc>
        <w:tc>
          <w:tcPr>
            <w:tcW w:w="111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培养目标(15)</w:t>
            </w:r>
          </w:p>
        </w:tc>
        <w:tc>
          <w:tcPr>
            <w:tcW w:w="667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20" w:lineRule="exact"/>
              <w:ind w:firstLine="420"/>
              <w:jc w:val="left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专业培养目标契合教学质量国家标准指导意见。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126" w:type="dxa"/>
            <w:vMerge w:val="continue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" w:hAnsi="仿宋" w:eastAsia="仿宋" w:cs="仿宋"/>
                <w:b/>
                <w:bCs/>
                <w:kern w:val="0"/>
                <w:szCs w:val="21"/>
              </w:rPr>
            </w:pPr>
          </w:p>
        </w:tc>
        <w:tc>
          <w:tcPr>
            <w:tcW w:w="111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课程体系</w:t>
            </w:r>
          </w:p>
          <w:p>
            <w:pPr>
              <w:widowControl/>
              <w:spacing w:line="320" w:lineRule="exact"/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(20)</w:t>
            </w:r>
          </w:p>
        </w:tc>
        <w:tc>
          <w:tcPr>
            <w:tcW w:w="667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20" w:lineRule="exact"/>
              <w:ind w:firstLine="420"/>
              <w:jc w:val="left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专业课程体系总体框架、各类型课程设置、核心课程开出率、实践教学过程符合教学质量国家标准，注重课程思政建设。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126" w:type="dxa"/>
            <w:vMerge w:val="continue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" w:hAnsi="仿宋" w:eastAsia="仿宋" w:cs="仿宋"/>
                <w:b/>
                <w:bCs/>
                <w:kern w:val="0"/>
                <w:szCs w:val="21"/>
              </w:rPr>
            </w:pPr>
          </w:p>
        </w:tc>
        <w:tc>
          <w:tcPr>
            <w:tcW w:w="111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教学规范(15)</w:t>
            </w:r>
          </w:p>
        </w:tc>
        <w:tc>
          <w:tcPr>
            <w:tcW w:w="667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20" w:lineRule="exact"/>
              <w:ind w:firstLine="420"/>
              <w:jc w:val="left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本专业教师教学过程及教学行为规范，教学管理文件及教学档案齐备，符合教学质量国家标准。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126" w:type="dxa"/>
            <w:vMerge w:val="continue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" w:hAnsi="仿宋" w:eastAsia="仿宋" w:cs="仿宋"/>
                <w:b/>
                <w:bCs/>
                <w:kern w:val="0"/>
                <w:szCs w:val="21"/>
              </w:rPr>
            </w:pPr>
          </w:p>
        </w:tc>
        <w:tc>
          <w:tcPr>
            <w:tcW w:w="111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师资队伍(15)</w:t>
            </w:r>
          </w:p>
        </w:tc>
        <w:tc>
          <w:tcPr>
            <w:tcW w:w="667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20" w:lineRule="exact"/>
              <w:ind w:firstLine="420"/>
              <w:jc w:val="left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专业师资规模、结构及教师水平符合教学质量国家标准，专业生师比符合相关认证标准。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126" w:type="dxa"/>
            <w:vMerge w:val="continue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" w:hAnsi="仿宋" w:eastAsia="仿宋" w:cs="仿宋"/>
                <w:b/>
                <w:bCs/>
                <w:kern w:val="0"/>
                <w:szCs w:val="21"/>
              </w:rPr>
            </w:pPr>
          </w:p>
        </w:tc>
        <w:tc>
          <w:tcPr>
            <w:tcW w:w="111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教学条件(20)</w:t>
            </w:r>
          </w:p>
        </w:tc>
        <w:tc>
          <w:tcPr>
            <w:tcW w:w="667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20" w:lineRule="exact"/>
              <w:ind w:firstLine="420"/>
              <w:jc w:val="left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专业教学设施建设、信息资源购置、实践基地数量、教学经费投入符合教学质量国家标准。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126" w:type="dxa"/>
            <w:vMerge w:val="continue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" w:hAnsi="仿宋" w:eastAsia="仿宋" w:cs="仿宋"/>
                <w:b/>
                <w:bCs/>
                <w:kern w:val="0"/>
                <w:szCs w:val="21"/>
              </w:rPr>
            </w:pPr>
          </w:p>
        </w:tc>
        <w:tc>
          <w:tcPr>
            <w:tcW w:w="111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质量保障(15)</w:t>
            </w:r>
          </w:p>
        </w:tc>
        <w:tc>
          <w:tcPr>
            <w:tcW w:w="667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20" w:lineRule="exact"/>
              <w:ind w:firstLine="420"/>
              <w:jc w:val="left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专业设有质量保障体系，教学过程质量监控机制、毕业生跟踪反馈机制、持续改进机制符合教学质量国家标准。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5" w:hRule="atLeast"/>
          <w:jc w:val="center"/>
        </w:trPr>
        <w:tc>
          <w:tcPr>
            <w:tcW w:w="1126" w:type="dxa"/>
            <w:vMerge w:val="restart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Cs w:val="21"/>
              </w:rPr>
              <w:t>专业建设成效（100分）</w:t>
            </w:r>
          </w:p>
        </w:tc>
        <w:tc>
          <w:tcPr>
            <w:tcW w:w="111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人才培养成效（30）</w:t>
            </w:r>
          </w:p>
        </w:tc>
        <w:tc>
          <w:tcPr>
            <w:tcW w:w="296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20" w:lineRule="exact"/>
              <w:ind w:firstLine="420"/>
              <w:jc w:val="left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较立项当年专业招生考试第一志愿上线率、新生报到率有明显提高。</w:t>
            </w:r>
          </w:p>
        </w:tc>
        <w:tc>
          <w:tcPr>
            <w:tcW w:w="370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20" w:lineRule="exact"/>
              <w:ind w:firstLine="420"/>
              <w:jc w:val="left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较立项当年专业招生考试第一志愿上线率、新生报到率有提高。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  <w:jc w:val="center"/>
        </w:trPr>
        <w:tc>
          <w:tcPr>
            <w:tcW w:w="1126" w:type="dxa"/>
            <w:vMerge w:val="continue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</w:p>
        </w:tc>
        <w:tc>
          <w:tcPr>
            <w:tcW w:w="1116" w:type="dxa"/>
            <w:vMerge w:val="continu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</w:p>
        </w:tc>
        <w:tc>
          <w:tcPr>
            <w:tcW w:w="296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20" w:lineRule="exact"/>
              <w:ind w:firstLine="420"/>
              <w:jc w:val="left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专业实习管理规范，实习教学效果良好；重视学生实践能力培养，学生在国家级比赛中表现优秀，取得较好名次。</w:t>
            </w:r>
          </w:p>
        </w:tc>
        <w:tc>
          <w:tcPr>
            <w:tcW w:w="370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20" w:lineRule="exact"/>
              <w:ind w:firstLine="420"/>
              <w:jc w:val="left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专业实习管理规范，实习教学效果良好；重视学生实践能力培养，学生在省部级比赛中表现良好，获得较好名次。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1126" w:type="dxa"/>
            <w:vMerge w:val="continue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</w:p>
        </w:tc>
        <w:tc>
          <w:tcPr>
            <w:tcW w:w="1116" w:type="dxa"/>
            <w:vMerge w:val="continu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</w:p>
        </w:tc>
        <w:tc>
          <w:tcPr>
            <w:tcW w:w="296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20" w:lineRule="exact"/>
              <w:ind w:firstLine="420"/>
              <w:jc w:val="left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专业严格执行毕业论文（设计）标准和规定，高阶性、创新性、挑战度的优良毕业论文（设计）占比高。</w:t>
            </w:r>
          </w:p>
        </w:tc>
        <w:tc>
          <w:tcPr>
            <w:tcW w:w="370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20" w:lineRule="exact"/>
              <w:ind w:firstLine="420"/>
              <w:jc w:val="left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专业严格执行毕业论文（设计）标准和规定，具有一定比例的高阶性、创新性、挑战度的优良毕业论文（设计）。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126" w:type="dxa"/>
            <w:vMerge w:val="continue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</w:p>
        </w:tc>
        <w:tc>
          <w:tcPr>
            <w:tcW w:w="1116" w:type="dxa"/>
            <w:vMerge w:val="continu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</w:p>
        </w:tc>
        <w:tc>
          <w:tcPr>
            <w:tcW w:w="296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20" w:lineRule="exact"/>
              <w:ind w:firstLine="420"/>
              <w:jc w:val="left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专业就业率有较大提高；建立就业跟踪机制，能够定期对社会需求和毕业生质量进行跟踪调查，毕业生受到用人单位广泛欢迎，社会声誉高。</w:t>
            </w:r>
          </w:p>
        </w:tc>
        <w:tc>
          <w:tcPr>
            <w:tcW w:w="370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20" w:lineRule="exact"/>
              <w:ind w:firstLine="420"/>
              <w:jc w:val="left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专业就业率有一定提高；建立就业跟踪机制，能够定期对社会需求和毕业生质量进行跟踪调查，用人单位满意度较高。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0" w:hRule="atLeast"/>
          <w:jc w:val="center"/>
        </w:trPr>
        <w:tc>
          <w:tcPr>
            <w:tcW w:w="1126" w:type="dxa"/>
            <w:vMerge w:val="continue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</w:p>
        </w:tc>
        <w:tc>
          <w:tcPr>
            <w:tcW w:w="1116" w:type="dxa"/>
            <w:vMerge w:val="continu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</w:p>
        </w:tc>
        <w:tc>
          <w:tcPr>
            <w:tcW w:w="667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20" w:lineRule="exact"/>
              <w:ind w:firstLine="420"/>
              <w:jc w:val="left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  <w:lang w:eastAsia="zh-CN"/>
              </w:rPr>
              <w:t>“</w:t>
            </w:r>
            <w:r>
              <w:rPr>
                <w:rFonts w:hint="eastAsia" w:ascii="仿宋" w:hAnsi="仿宋" w:eastAsia="仿宋" w:cs="仿宋"/>
                <w:kern w:val="0"/>
                <w:szCs w:val="21"/>
                <w:lang w:val="en-US" w:eastAsia="zh-CN"/>
              </w:rPr>
              <w:t>卓拔培优计划</w:t>
            </w:r>
            <w:r>
              <w:rPr>
                <w:rFonts w:hint="eastAsia" w:ascii="仿宋" w:hAnsi="仿宋" w:eastAsia="仿宋" w:cs="仿宋"/>
                <w:kern w:val="0"/>
                <w:szCs w:val="21"/>
                <w:lang w:eastAsia="zh-CN"/>
              </w:rPr>
              <w:t>”</w:t>
            </w:r>
            <w:r>
              <w:rPr>
                <w:rFonts w:hint="eastAsia" w:ascii="仿宋" w:hAnsi="仿宋" w:eastAsia="仿宋" w:cs="仿宋"/>
                <w:kern w:val="0"/>
                <w:szCs w:val="21"/>
              </w:rPr>
              <w:t>相关专业形成本专业卓越或拔尖计划培养方案，并建成校级创新实验班。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5" w:hRule="atLeast"/>
          <w:jc w:val="center"/>
        </w:trPr>
        <w:tc>
          <w:tcPr>
            <w:tcW w:w="1126" w:type="dxa"/>
            <w:vMerge w:val="continue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</w:p>
        </w:tc>
        <w:tc>
          <w:tcPr>
            <w:tcW w:w="111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教学工程建设成效（30）</w:t>
            </w:r>
          </w:p>
        </w:tc>
        <w:tc>
          <w:tcPr>
            <w:tcW w:w="296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20" w:lineRule="exact"/>
              <w:ind w:firstLine="420" w:firstLineChars="200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专业具备支撑一流专业人才培养的课程体系，建设一批高水平课程，获批</w:t>
            </w:r>
            <w:r>
              <w:rPr>
                <w:rFonts w:ascii="仿宋" w:hAnsi="仿宋" w:eastAsia="仿宋" w:cs="仿宋"/>
                <w:kern w:val="0"/>
                <w:szCs w:val="21"/>
              </w:rPr>
              <w:t>3</w:t>
            </w:r>
            <w:r>
              <w:rPr>
                <w:rFonts w:hint="eastAsia" w:ascii="仿宋" w:hAnsi="仿宋" w:eastAsia="仿宋" w:cs="仿宋"/>
                <w:kern w:val="0"/>
                <w:szCs w:val="21"/>
              </w:rPr>
              <w:t>门以上（含</w:t>
            </w:r>
            <w:r>
              <w:rPr>
                <w:rFonts w:ascii="仿宋" w:hAnsi="仿宋" w:eastAsia="仿宋" w:cs="仿宋"/>
                <w:kern w:val="0"/>
                <w:szCs w:val="21"/>
              </w:rPr>
              <w:t>3</w:t>
            </w:r>
            <w:r>
              <w:rPr>
                <w:rFonts w:hint="eastAsia" w:ascii="仿宋" w:hAnsi="仿宋" w:eastAsia="仿宋" w:cs="仿宋"/>
                <w:kern w:val="0"/>
                <w:szCs w:val="21"/>
              </w:rPr>
              <w:t>门）校级一流课程，其中至少1门为课程思政类课程，2门为专业核心课。所有课程均为线上线下混合或纯线上模式类课程。</w:t>
            </w:r>
          </w:p>
        </w:tc>
        <w:tc>
          <w:tcPr>
            <w:tcW w:w="370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20" w:lineRule="exact"/>
              <w:ind w:firstLine="420"/>
              <w:jc w:val="left"/>
              <w:rPr>
                <w:rFonts w:ascii="仿宋" w:hAnsi="仿宋" w:eastAsia="仿宋" w:cs="仿宋"/>
                <w:kern w:val="0"/>
                <w:szCs w:val="21"/>
              </w:rPr>
            </w:pPr>
            <w:bookmarkStart w:id="0" w:name="_GoBack"/>
            <w:bookmarkEnd w:id="0"/>
            <w:r>
              <w:rPr>
                <w:rFonts w:hint="eastAsia" w:ascii="仿宋" w:hAnsi="仿宋" w:eastAsia="仿宋" w:cs="仿宋"/>
                <w:kern w:val="0"/>
                <w:szCs w:val="21"/>
              </w:rPr>
              <w:t>专业具备支撑一流专业人才培养的课程体系，建设一批高水平课程，获批</w:t>
            </w:r>
            <w:r>
              <w:rPr>
                <w:rFonts w:ascii="仿宋" w:hAnsi="仿宋" w:eastAsia="仿宋" w:cs="仿宋"/>
                <w:kern w:val="0"/>
                <w:szCs w:val="21"/>
              </w:rPr>
              <w:t>2</w:t>
            </w:r>
            <w:r>
              <w:rPr>
                <w:rFonts w:hint="eastAsia" w:ascii="仿宋" w:hAnsi="仿宋" w:eastAsia="仿宋" w:cs="仿宋"/>
                <w:kern w:val="0"/>
                <w:szCs w:val="21"/>
              </w:rPr>
              <w:t>门以上（含</w:t>
            </w:r>
            <w:r>
              <w:rPr>
                <w:rFonts w:ascii="仿宋" w:hAnsi="仿宋" w:eastAsia="仿宋" w:cs="仿宋"/>
                <w:kern w:val="0"/>
                <w:szCs w:val="21"/>
              </w:rPr>
              <w:t>2</w:t>
            </w:r>
            <w:r>
              <w:rPr>
                <w:rFonts w:hint="eastAsia" w:ascii="仿宋" w:hAnsi="仿宋" w:eastAsia="仿宋" w:cs="仿宋"/>
                <w:kern w:val="0"/>
                <w:szCs w:val="21"/>
              </w:rPr>
              <w:t>门）校级一流课程，其中至少1门为课程思政类课程，</w:t>
            </w:r>
            <w:r>
              <w:rPr>
                <w:rFonts w:ascii="仿宋" w:hAnsi="仿宋" w:eastAsia="仿宋" w:cs="仿宋"/>
                <w:kern w:val="0"/>
                <w:szCs w:val="21"/>
              </w:rPr>
              <w:t>1</w:t>
            </w:r>
            <w:r>
              <w:rPr>
                <w:rFonts w:hint="eastAsia" w:ascii="仿宋" w:hAnsi="仿宋" w:eastAsia="仿宋" w:cs="仿宋"/>
                <w:kern w:val="0"/>
                <w:szCs w:val="21"/>
              </w:rPr>
              <w:t>门为专业核心课。所有课程均为线上线下混合或纯线上模式类课程。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126" w:type="dxa"/>
            <w:vMerge w:val="continue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</w:p>
        </w:tc>
        <w:tc>
          <w:tcPr>
            <w:tcW w:w="1116" w:type="dxa"/>
            <w:vMerge w:val="continu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</w:p>
        </w:tc>
        <w:tc>
          <w:tcPr>
            <w:tcW w:w="296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20" w:lineRule="exact"/>
              <w:ind w:firstLine="420"/>
              <w:jc w:val="left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专业具有完善的教材审核制度，教师编写教材积极性高，本专业教师主编或参编有较高水平的教材。</w:t>
            </w:r>
          </w:p>
        </w:tc>
        <w:tc>
          <w:tcPr>
            <w:tcW w:w="370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20" w:lineRule="exact"/>
              <w:ind w:firstLine="420"/>
              <w:jc w:val="left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专业具有完善的教材审批制度，教师编写教材积极性高，本专业教师有主编或参编教材。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126" w:type="dxa"/>
            <w:vMerge w:val="continue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</w:p>
        </w:tc>
        <w:tc>
          <w:tcPr>
            <w:tcW w:w="1116" w:type="dxa"/>
            <w:vMerge w:val="continu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</w:p>
        </w:tc>
        <w:tc>
          <w:tcPr>
            <w:tcW w:w="296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20" w:lineRule="exact"/>
              <w:ind w:firstLine="420"/>
              <w:jc w:val="left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专业基层教学组织制度健全，具有优秀的教学团队和常态化青年教师成长发展机制。</w:t>
            </w:r>
          </w:p>
        </w:tc>
        <w:tc>
          <w:tcPr>
            <w:tcW w:w="370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20" w:lineRule="exact"/>
              <w:ind w:firstLine="420"/>
              <w:jc w:val="left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专业基层教学组织制度健全，具有合理的教学团队和常态化青年教师成长发展机制。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45" w:hRule="atLeast"/>
          <w:jc w:val="center"/>
        </w:trPr>
        <w:tc>
          <w:tcPr>
            <w:tcW w:w="1126" w:type="dxa"/>
            <w:vMerge w:val="continue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</w:p>
        </w:tc>
        <w:tc>
          <w:tcPr>
            <w:tcW w:w="1116" w:type="dxa"/>
            <w:vMerge w:val="continu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</w:p>
        </w:tc>
        <w:tc>
          <w:tcPr>
            <w:tcW w:w="296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20" w:lineRule="exact"/>
              <w:ind w:firstLine="420"/>
              <w:jc w:val="left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重视教师培训，注重团队建设，获批自治区级教学名师、能手或教学大赛获奖。</w:t>
            </w:r>
          </w:p>
        </w:tc>
        <w:tc>
          <w:tcPr>
            <w:tcW w:w="370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20" w:lineRule="exact"/>
              <w:ind w:firstLine="420"/>
              <w:jc w:val="left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重视教师培训，注重团队建设，获批校级教学名师、能手或教学大赛获奖。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60" w:hRule="atLeast"/>
          <w:jc w:val="center"/>
        </w:trPr>
        <w:tc>
          <w:tcPr>
            <w:tcW w:w="1126" w:type="dxa"/>
            <w:vMerge w:val="continu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</w:p>
        </w:tc>
        <w:tc>
          <w:tcPr>
            <w:tcW w:w="111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教学改革成效（20）</w:t>
            </w:r>
          </w:p>
        </w:tc>
        <w:tc>
          <w:tcPr>
            <w:tcW w:w="296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20" w:lineRule="exact"/>
              <w:ind w:firstLine="420"/>
              <w:jc w:val="left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积极推动专业教学改革，鼓励教学研究，考核期内获批</w:t>
            </w:r>
            <w:r>
              <w:rPr>
                <w:rFonts w:ascii="仿宋" w:hAnsi="仿宋" w:eastAsia="仿宋" w:cs="仿宋"/>
                <w:kern w:val="0"/>
                <w:szCs w:val="21"/>
              </w:rPr>
              <w:t>2</w:t>
            </w:r>
            <w:r>
              <w:rPr>
                <w:rFonts w:hint="eastAsia" w:ascii="仿宋" w:hAnsi="仿宋" w:eastAsia="仿宋" w:cs="仿宋"/>
                <w:kern w:val="0"/>
                <w:szCs w:val="21"/>
              </w:rPr>
              <w:t>项自治区级及以上教学改革项目（含教师教育项目），或在核心期刊发表教改论文</w:t>
            </w:r>
            <w:r>
              <w:rPr>
                <w:rFonts w:ascii="仿宋" w:hAnsi="仿宋" w:eastAsia="仿宋" w:cs="仿宋"/>
                <w:kern w:val="0"/>
                <w:szCs w:val="21"/>
              </w:rPr>
              <w:t>2</w:t>
            </w:r>
            <w:r>
              <w:rPr>
                <w:rFonts w:hint="eastAsia" w:ascii="仿宋" w:hAnsi="仿宋" w:eastAsia="仿宋" w:cs="仿宋"/>
                <w:kern w:val="0"/>
                <w:szCs w:val="21"/>
              </w:rPr>
              <w:t>篇及以上。</w:t>
            </w:r>
          </w:p>
        </w:tc>
        <w:tc>
          <w:tcPr>
            <w:tcW w:w="370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20" w:lineRule="exact"/>
              <w:ind w:firstLine="420"/>
              <w:jc w:val="left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积极推动专业教学改革，鼓励教学研究，考核期内获批</w:t>
            </w:r>
            <w:r>
              <w:rPr>
                <w:rFonts w:ascii="仿宋" w:hAnsi="仿宋" w:eastAsia="仿宋" w:cs="仿宋"/>
                <w:kern w:val="0"/>
                <w:szCs w:val="21"/>
              </w:rPr>
              <w:t>1</w:t>
            </w:r>
            <w:r>
              <w:rPr>
                <w:rFonts w:hint="eastAsia" w:ascii="仿宋" w:hAnsi="仿宋" w:eastAsia="仿宋" w:cs="仿宋"/>
                <w:kern w:val="0"/>
                <w:szCs w:val="21"/>
              </w:rPr>
              <w:t>项自治区级及以上教学改革项目（含教师教育项目），或在核心期刊发表教改论文1篇及以上。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10" w:hRule="atLeast"/>
          <w:jc w:val="center"/>
        </w:trPr>
        <w:tc>
          <w:tcPr>
            <w:tcW w:w="1126" w:type="dxa"/>
            <w:vMerge w:val="continue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</w:p>
        </w:tc>
        <w:tc>
          <w:tcPr>
            <w:tcW w:w="1116" w:type="dxa"/>
            <w:vMerge w:val="continu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</w:p>
        </w:tc>
        <w:tc>
          <w:tcPr>
            <w:tcW w:w="296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20" w:lineRule="exact"/>
              <w:ind w:firstLine="420"/>
              <w:jc w:val="left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积极推广培育教学成果，获得1项自治区级教学成果奖或2项校级教学成果奖。</w:t>
            </w:r>
          </w:p>
        </w:tc>
        <w:tc>
          <w:tcPr>
            <w:tcW w:w="370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20" w:lineRule="exact"/>
              <w:ind w:firstLine="420"/>
              <w:jc w:val="left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积极推广培育教学成果，获</w:t>
            </w:r>
            <w:r>
              <w:rPr>
                <w:rFonts w:ascii="仿宋" w:hAnsi="仿宋" w:eastAsia="仿宋" w:cs="仿宋"/>
                <w:kern w:val="0"/>
                <w:szCs w:val="21"/>
              </w:rPr>
              <w:t xml:space="preserve"> 1</w:t>
            </w:r>
            <w:r>
              <w:rPr>
                <w:rFonts w:hint="eastAsia" w:ascii="仿宋" w:hAnsi="仿宋" w:eastAsia="仿宋" w:cs="仿宋"/>
                <w:kern w:val="0"/>
                <w:szCs w:val="21"/>
              </w:rPr>
              <w:t>项校级教学成果奖。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35" w:hRule="atLeast"/>
          <w:jc w:val="center"/>
        </w:trPr>
        <w:tc>
          <w:tcPr>
            <w:tcW w:w="1126" w:type="dxa"/>
            <w:vMerge w:val="continue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</w:p>
        </w:tc>
        <w:tc>
          <w:tcPr>
            <w:tcW w:w="111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专业认证与特色（20）</w:t>
            </w:r>
          </w:p>
        </w:tc>
        <w:tc>
          <w:tcPr>
            <w:tcW w:w="296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20" w:lineRule="exact"/>
              <w:ind w:firstLine="420"/>
              <w:jc w:val="left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积极筹备专业认证工作，向相关认证机构提交认证申请并通过认证。</w:t>
            </w:r>
          </w:p>
        </w:tc>
        <w:tc>
          <w:tcPr>
            <w:tcW w:w="370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20" w:lineRule="exact"/>
              <w:ind w:firstLine="420"/>
              <w:jc w:val="left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积极筹备专业认证工作，向相关认证机构提交认证申请。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90" w:hRule="atLeast"/>
          <w:jc w:val="center"/>
        </w:trPr>
        <w:tc>
          <w:tcPr>
            <w:tcW w:w="1126" w:type="dxa"/>
            <w:vMerge w:val="continue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" w:hAnsi="仿宋" w:eastAsia="仿宋" w:cs="仿宋"/>
                <w:b/>
                <w:bCs/>
                <w:kern w:val="0"/>
                <w:szCs w:val="21"/>
              </w:rPr>
            </w:pPr>
          </w:p>
        </w:tc>
        <w:tc>
          <w:tcPr>
            <w:tcW w:w="1116" w:type="dxa"/>
            <w:vMerge w:val="continu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</w:p>
        </w:tc>
        <w:tc>
          <w:tcPr>
            <w:tcW w:w="296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20" w:lineRule="exact"/>
              <w:ind w:firstLine="420"/>
              <w:jc w:val="left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专业定位准确，特色显著，与国内、区内其他学校同类专业相比具有一定优势与特色。</w:t>
            </w:r>
          </w:p>
        </w:tc>
        <w:tc>
          <w:tcPr>
            <w:tcW w:w="370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20" w:lineRule="exact"/>
              <w:ind w:firstLine="420"/>
              <w:jc w:val="left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专业定位明确，与国内、区内其他学校同类专业相比具有一定优势与特色。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0" w:hRule="atLeast"/>
          <w:jc w:val="center"/>
        </w:trPr>
        <w:tc>
          <w:tcPr>
            <w:tcW w:w="1126" w:type="dxa"/>
            <w:vMerge w:val="continue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" w:hAnsi="仿宋" w:eastAsia="仿宋" w:cs="仿宋"/>
                <w:b/>
                <w:bCs/>
                <w:kern w:val="0"/>
                <w:szCs w:val="21"/>
              </w:rPr>
            </w:pPr>
          </w:p>
        </w:tc>
        <w:tc>
          <w:tcPr>
            <w:tcW w:w="111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ascii="仿宋" w:hAnsi="仿宋" w:eastAsia="仿宋" w:cs="仿宋"/>
                <w:bCs/>
                <w:kern w:val="0"/>
                <w:szCs w:val="21"/>
              </w:rPr>
              <w:t>负面清单</w:t>
            </w:r>
            <w:r>
              <w:rPr>
                <w:rFonts w:hint="eastAsia" w:ascii="仿宋" w:hAnsi="仿宋" w:eastAsia="仿宋" w:cs="仿宋"/>
                <w:bCs/>
                <w:kern w:val="0"/>
                <w:szCs w:val="21"/>
              </w:rPr>
              <w:t>所列情况（按照实际情况1项扣1分）</w:t>
            </w:r>
          </w:p>
        </w:tc>
        <w:tc>
          <w:tcPr>
            <w:tcW w:w="667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20" w:lineRule="exact"/>
              <w:ind w:firstLine="420"/>
              <w:jc w:val="left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学生体质检测不合格（-1分）；本科毕业论文抽检被上级部门通报（-3分）；毕业论文查重率高于50%（-3分）；任课教师校级教学督导成绩低于80分（-3分）；学生课堂出勤率低（-2分）；学生考试作弊（-2分）；考研率低于学校平均水平（-2）；监考老师</w:t>
            </w:r>
            <w:r>
              <w:rPr>
                <w:rFonts w:hint="eastAsia" w:ascii="仿宋" w:hAnsi="仿宋" w:eastAsia="仿宋" w:cs="仿宋"/>
                <w:kern w:val="0"/>
                <w:szCs w:val="21"/>
                <w:lang w:val="en-US" w:eastAsia="zh-CN"/>
              </w:rPr>
              <w:t>不负</w:t>
            </w:r>
            <w:r>
              <w:rPr>
                <w:rFonts w:hint="eastAsia" w:ascii="仿宋" w:hAnsi="仿宋" w:eastAsia="仿宋" w:cs="仿宋"/>
                <w:kern w:val="0"/>
                <w:szCs w:val="21"/>
              </w:rPr>
              <w:t>责任并造成不良后果（-2）。</w:t>
            </w:r>
          </w:p>
        </w:tc>
      </w:tr>
    </w:tbl>
    <w:p>
      <w:pPr>
        <w:rPr>
          <w:b/>
          <w:bCs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I1NDMyMjJhNDEzMTEzOTgyOWYwZWI1YzFiNzZlODcifQ=="/>
  </w:docVars>
  <w:rsids>
    <w:rsidRoot w:val="0DF27308"/>
    <w:rsid w:val="0DF27308"/>
    <w:rsid w:val="6C1369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2023-11-10T09:17:00Z</dcterms:created>
  <dc:creator>任铭</dc:creator>
  <cp:lastModifiedBy>任铭</cp:lastModifiedBy>
  <dcterms:modified xsi:type="dcterms:W3CDTF">2023-11-10T09:20:22Z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F924D704BB77445CA165C5888B094F08_11</vt:lpwstr>
  </property>
</Properties>
</file>